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2607" w14:textId="77777777" w:rsidR="00B929D1" w:rsidRPr="00D62261" w:rsidRDefault="00B929D1" w:rsidP="00B929D1">
      <w:pPr>
        <w:jc w:val="center"/>
        <w:rPr>
          <w:rFonts w:ascii="Century Gothic" w:hAnsi="Century Gothic"/>
          <w:b/>
          <w:sz w:val="40"/>
          <w:szCs w:val="36"/>
        </w:rPr>
      </w:pPr>
      <w:r w:rsidRPr="00D62261">
        <w:rPr>
          <w:rFonts w:ascii="Century Gothic" w:hAnsi="Century Gothic"/>
          <w:b/>
          <w:sz w:val="40"/>
          <w:szCs w:val="36"/>
        </w:rPr>
        <w:t>DAP NOTE</w:t>
      </w:r>
    </w:p>
    <w:p w14:paraId="6B3E5FE8" w14:textId="77777777" w:rsidR="00D62261" w:rsidRDefault="00D62261" w:rsidP="00B929D1">
      <w:pPr>
        <w:rPr>
          <w:rFonts w:ascii="Century Gothic" w:hAnsi="Century Gothic"/>
          <w:b/>
          <w:sz w:val="28"/>
          <w:szCs w:val="28"/>
        </w:rPr>
      </w:pPr>
    </w:p>
    <w:p w14:paraId="6EE18B3F" w14:textId="2AC88FB8" w:rsidR="00B929D1" w:rsidRPr="00D62261" w:rsidRDefault="00B929D1" w:rsidP="00B929D1">
      <w:pPr>
        <w:rPr>
          <w:rFonts w:ascii="Century Gothic" w:hAnsi="Century Gothic"/>
          <w:b/>
          <w:sz w:val="28"/>
          <w:szCs w:val="28"/>
        </w:rPr>
      </w:pPr>
      <w:r w:rsidRPr="00D62261">
        <w:rPr>
          <w:rFonts w:ascii="Century Gothic" w:hAnsi="Century Gothic"/>
          <w:b/>
          <w:sz w:val="28"/>
          <w:szCs w:val="28"/>
        </w:rPr>
        <w:t>DATA</w:t>
      </w:r>
    </w:p>
    <w:p w14:paraId="5DA7E346" w14:textId="12083AC5" w:rsidR="00497C4E" w:rsidRPr="00D62261" w:rsidRDefault="00C34BFD" w:rsidP="00D6226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B929D1" w:rsidRPr="00D6226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B929D1" w:rsidRPr="00D62261">
        <w:rPr>
          <w:rFonts w:ascii="Century Gothic" w:hAnsi="Century Gothic"/>
          <w:sz w:val="24"/>
          <w:szCs w:val="24"/>
        </w:rPr>
        <w:t>Subjective Patient complains of SOB, fever, and cough with green sputum. BP 168/88; P 88; T 103F/39.4C; R 20 and labored. Diminished breath sounds, e-to-a changes and increased tactile fremitus over the left lower and middle lung fields, 2+ pedal edema. Sputum Gram stain shows gram-positive cocci in pairs. WBC 16.0 × 103 /mm3 with 12% bands, INR 3.5. Blood glucose and HbA1c elevated. Chest x-ray indicates cardiomegaly and left lobe infiltrate.</w:t>
      </w:r>
    </w:p>
    <w:p w14:paraId="5C0F7F01" w14:textId="77777777" w:rsidR="00C34BFD" w:rsidRDefault="00C34BFD" w:rsidP="00F74913">
      <w:pPr>
        <w:rPr>
          <w:rFonts w:ascii="Century Gothic" w:hAnsi="Century Gothic"/>
          <w:b/>
          <w:sz w:val="28"/>
          <w:szCs w:val="28"/>
        </w:rPr>
      </w:pPr>
    </w:p>
    <w:p w14:paraId="0CC6EA25" w14:textId="6C177C7C" w:rsidR="00B929D1" w:rsidRPr="00D62261" w:rsidRDefault="00D62261" w:rsidP="00F74913">
      <w:pPr>
        <w:rPr>
          <w:rFonts w:ascii="Century Gothic" w:hAnsi="Century Gothic"/>
          <w:b/>
          <w:sz w:val="28"/>
          <w:szCs w:val="28"/>
        </w:rPr>
      </w:pPr>
      <w:r w:rsidRPr="00D62261">
        <w:rPr>
          <w:rFonts w:ascii="Century Gothic" w:hAnsi="Century Gothic"/>
          <w:b/>
          <w:sz w:val="28"/>
          <w:szCs w:val="28"/>
        </w:rPr>
        <w:t xml:space="preserve">ASSESSMENT </w:t>
      </w:r>
      <w:r w:rsidR="00C34BFD">
        <w:rPr>
          <w:rFonts w:ascii="Century Gothic" w:hAnsi="Century Gothic"/>
          <w:b/>
          <w:sz w:val="28"/>
          <w:szCs w:val="28"/>
        </w:rPr>
        <w:br/>
      </w:r>
    </w:p>
    <w:p w14:paraId="46114EA1" w14:textId="56091BB9" w:rsidR="00B929D1" w:rsidRPr="00C34BFD" w:rsidRDefault="00B929D1" w:rsidP="00C34B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Community-acquired pneumonia: probably pneumococcal in origin. Azithromycin appears to be unnecessary without indication for atypical pneumonia. </w:t>
      </w:r>
    </w:p>
    <w:p w14:paraId="21025161" w14:textId="088AB776" w:rsidR="00B929D1" w:rsidRPr="00C34BFD" w:rsidRDefault="00B929D1" w:rsidP="00C34B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Hypertension: currently untreated. BP of 168/88 would usually be classified as isolated systolic HTN, but present measurements may reflect infection and fever. The heart rate of 88 while on metoprolol and digoxin is a relative tachycardia, </w:t>
      </w:r>
      <w:proofErr w:type="gramStart"/>
      <w:r w:rsidRPr="00C34BFD">
        <w:rPr>
          <w:rFonts w:ascii="Century Gothic" w:hAnsi="Century Gothic"/>
          <w:sz w:val="24"/>
          <w:szCs w:val="24"/>
        </w:rPr>
        <w:t>assuming that</w:t>
      </w:r>
      <w:proofErr w:type="gramEnd"/>
      <w:r w:rsidRPr="00C34BFD">
        <w:rPr>
          <w:rFonts w:ascii="Century Gothic" w:hAnsi="Century Gothic"/>
          <w:sz w:val="24"/>
          <w:szCs w:val="24"/>
        </w:rPr>
        <w:t xml:space="preserve"> in the baseline environment the drugs would achieve a HR of 60 to 80 bpm. </w:t>
      </w:r>
    </w:p>
    <w:p w14:paraId="70F8B660" w14:textId="79B7AB59" w:rsidR="00B929D1" w:rsidRPr="00C34BFD" w:rsidRDefault="00B929D1" w:rsidP="00C34B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>CHF: Pedal edema and cardiomegaly on chest x-ray. Receiving no ACE inhibitor.</w:t>
      </w:r>
    </w:p>
    <w:p w14:paraId="10796D4D" w14:textId="2A19179B" w:rsidR="00B929D1" w:rsidRPr="00C34BFD" w:rsidRDefault="00B929D1" w:rsidP="00C34B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Anticoagulation: INR above target range of 2.0 to 3.0. Identify and remove causes or reduce warfarin dose. </w:t>
      </w:r>
    </w:p>
    <w:p w14:paraId="1D62D028" w14:textId="1A7D29CD" w:rsidR="00B929D1" w:rsidRPr="00C34BFD" w:rsidRDefault="00B929D1" w:rsidP="00C34B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Type 2 diabetes mellitus: HbA1c c above goal of 7%. Not receiving ACE inhibitor for renal protective effects. </w:t>
      </w:r>
    </w:p>
    <w:p w14:paraId="72D8564F" w14:textId="76D3D421" w:rsidR="00B929D1" w:rsidRPr="00C34BFD" w:rsidRDefault="00B929D1" w:rsidP="00C34B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lastRenderedPageBreak/>
        <w:t xml:space="preserve">Lipid panel: no recent results available; goal LDL is 100 mg/dL in patient with existing CAD. </w:t>
      </w:r>
    </w:p>
    <w:p w14:paraId="70741559" w14:textId="0C6FDCBA" w:rsidR="00B929D1" w:rsidRPr="00C34BFD" w:rsidRDefault="00B929D1" w:rsidP="00C34B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Adverse effects: although metoprolol is a 1-selective b-blocker, consider that its 2-blocking properties (usually at higher doses) may contribute to SOB due to bronchoconstriction, negative inotropic effects, or both. </w:t>
      </w:r>
    </w:p>
    <w:p w14:paraId="3063F2E4" w14:textId="79E3C015" w:rsidR="00B929D1" w:rsidRPr="00C34BFD" w:rsidRDefault="00B929D1" w:rsidP="00C34B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>Medication without indication: There appears to be no need for famotidine in this situation.</w:t>
      </w:r>
    </w:p>
    <w:p w14:paraId="0569DC8A" w14:textId="4AC2B5E3" w:rsidR="00B929D1" w:rsidRPr="00D62261" w:rsidRDefault="00D62261" w:rsidP="00B929D1">
      <w:pPr>
        <w:rPr>
          <w:rFonts w:ascii="Century Gothic" w:hAnsi="Century Gothic"/>
          <w:b/>
          <w:sz w:val="28"/>
          <w:szCs w:val="28"/>
        </w:rPr>
      </w:pPr>
      <w:r w:rsidRPr="00D62261">
        <w:rPr>
          <w:rFonts w:ascii="Century Gothic" w:hAnsi="Century Gothic"/>
          <w:b/>
          <w:sz w:val="28"/>
          <w:szCs w:val="28"/>
        </w:rPr>
        <w:t>PLAN</w:t>
      </w:r>
    </w:p>
    <w:p w14:paraId="4AA96B73" w14:textId="77777777" w:rsidR="00C34BFD" w:rsidRDefault="00C34BFD" w:rsidP="00C34B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93E4717" w14:textId="6E584058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Continue acetaminophen 325 mg po q 6 h PRN temp 101F/38.3C </w:t>
      </w:r>
    </w:p>
    <w:p w14:paraId="753A1698" w14:textId="77777777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Change gatifloxacin to 400 mg po QD, the dose indicated for community-acquired pneumonia (does not come in 500-mg strength); discontinue azithromycin. </w:t>
      </w:r>
    </w:p>
    <w:p w14:paraId="5081ABDF" w14:textId="2488D5A4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D/C metformin during hospital stay, </w:t>
      </w:r>
      <w:proofErr w:type="gramStart"/>
      <w:r w:rsidRPr="00C34BFD">
        <w:rPr>
          <w:rFonts w:ascii="Century Gothic" w:hAnsi="Century Gothic"/>
          <w:sz w:val="24"/>
          <w:szCs w:val="24"/>
        </w:rPr>
        <w:t>in light of</w:t>
      </w:r>
      <w:proofErr w:type="gramEnd"/>
      <w:r w:rsidRPr="00C34BFD">
        <w:rPr>
          <w:rFonts w:ascii="Century Gothic" w:hAnsi="Century Gothic"/>
          <w:sz w:val="24"/>
          <w:szCs w:val="24"/>
        </w:rPr>
        <w:t xml:space="preserve"> potential hypoxia/hypoperfusion dur</w:t>
      </w:r>
      <w:r w:rsidR="00205288" w:rsidRPr="00C34BFD">
        <w:rPr>
          <w:rFonts w:ascii="Century Gothic" w:hAnsi="Century Gothic"/>
          <w:sz w:val="24"/>
          <w:szCs w:val="24"/>
        </w:rPr>
        <w:t>ing acute respiratory distress.</w:t>
      </w:r>
    </w:p>
    <w:p w14:paraId="19AB5E29" w14:textId="32893CDF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Change glyburide 10 mg to glipizide XL 10 mg po QD. </w:t>
      </w:r>
    </w:p>
    <w:p w14:paraId="5E47FDB2" w14:textId="439E0206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Continue digoxin 0.125 mg po q AM. </w:t>
      </w:r>
    </w:p>
    <w:p w14:paraId="0ADC755A" w14:textId="14D72324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Give warfarin 2.5 today and then resume 5 mg po QD; dose to be adjusted as needed based on INR. </w:t>
      </w:r>
    </w:p>
    <w:p w14:paraId="468EAF73" w14:textId="32584F4C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Continue aspirin 80 mg po q AM. </w:t>
      </w:r>
    </w:p>
    <w:p w14:paraId="6AED99A1" w14:textId="559C384D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Increase furosemide to 100 mg po BID because of persistent pedal edema. </w:t>
      </w:r>
    </w:p>
    <w:p w14:paraId="1BF52974" w14:textId="77777777" w:rsidR="00C34BFD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Hold metoprolol until cause of SOB is identified. </w:t>
      </w:r>
    </w:p>
    <w:p w14:paraId="7CC9DCF1" w14:textId="664DF6D9" w:rsidR="00205288" w:rsidRPr="00C34BFD" w:rsidRDefault="00B929D1" w:rsidP="00C34B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D/C famotidine because of lack of indication in this patient. </w:t>
      </w:r>
    </w:p>
    <w:p w14:paraId="672E0DDF" w14:textId="069C5D01" w:rsidR="00205288" w:rsidRPr="00C34BFD" w:rsidRDefault="00B929D1" w:rsidP="00C34B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Start enalapril 10 mg po QD to reduce mortality from CHF, provide protection from diabetic-associated nephropathy, and help control HTN. 12. Obtain fasting lipid panel and start medical nutrition therapy and pravastatin 10 mg po q AM if LDL is above 100 mg/dL. </w:t>
      </w:r>
    </w:p>
    <w:p w14:paraId="6CD71BD2" w14:textId="6DC2ECB4" w:rsidR="00205288" w:rsidRPr="00C34BFD" w:rsidRDefault="00B929D1" w:rsidP="00C34B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Provide nasal O if appropriate for SOB. </w:t>
      </w:r>
    </w:p>
    <w:p w14:paraId="75309BEF" w14:textId="77777777" w:rsidR="00C34BFD" w:rsidRPr="00C34BFD" w:rsidRDefault="00B929D1" w:rsidP="00C34BF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lastRenderedPageBreak/>
        <w:t xml:space="preserve">Obtain admission weight, and then measure daily weight. Obtain prior outpatient weight to serve as baseline if available. </w:t>
      </w:r>
    </w:p>
    <w:p w14:paraId="79B74373" w14:textId="761DED96" w:rsidR="00205288" w:rsidRPr="00C34BFD" w:rsidRDefault="00B929D1" w:rsidP="00C34B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Diet: 3 meals with bedtime snack, with no concentrated carbohydrate (CHO) choices. Limit CHO intake per meal to 60 g; snacks 15–20 g CHO. No added salt. </w:t>
      </w:r>
    </w:p>
    <w:p w14:paraId="13854C1F" w14:textId="77777777" w:rsidR="00C34BFD" w:rsidRPr="00C34BFD" w:rsidRDefault="00B929D1" w:rsidP="00C34B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Check blood glucose AC and HS. </w:t>
      </w:r>
    </w:p>
    <w:p w14:paraId="4C199B34" w14:textId="6F1F0164" w:rsidR="00205288" w:rsidRPr="00C34BFD" w:rsidRDefault="00B929D1" w:rsidP="00C34B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Assess adherence with therapy. </w:t>
      </w:r>
    </w:p>
    <w:p w14:paraId="0D63FA8D" w14:textId="49C7477F" w:rsidR="00205288" w:rsidRPr="00C34BFD" w:rsidRDefault="00B929D1" w:rsidP="00C34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Supplement glyburide with insulin lispro for excessive premeal BG, based on an estimated insulin sensitivity of 1 unit per 30 to 40 mg/dL: If blood glucose: Give insulin lispro: &gt;180 mg/dL 2 units &gt;220 3 units &gt;260 4 units &gt;300 5 units &gt;340 6 units, and test for urinary ketones. Call MD if ketones moderate or large. </w:t>
      </w:r>
    </w:p>
    <w:p w14:paraId="4F8FB2D6" w14:textId="136A51C2" w:rsidR="00B929D1" w:rsidRPr="00C34BFD" w:rsidRDefault="00B929D1" w:rsidP="00C34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4BFD">
        <w:rPr>
          <w:rFonts w:ascii="Century Gothic" w:hAnsi="Century Gothic"/>
          <w:sz w:val="24"/>
          <w:szCs w:val="24"/>
        </w:rPr>
        <w:t xml:space="preserve">Anticipate reinstitution of metformin upon resolution of respiratory distress, peripheral edema, clearing of lung fields, and verification of </w:t>
      </w:r>
      <w:proofErr w:type="spellStart"/>
      <w:r w:rsidRPr="00C34BFD">
        <w:rPr>
          <w:rFonts w:ascii="Century Gothic" w:hAnsi="Century Gothic"/>
          <w:sz w:val="24"/>
          <w:szCs w:val="24"/>
        </w:rPr>
        <w:t>SCr</w:t>
      </w:r>
      <w:r w:rsidR="00D62261" w:rsidRPr="00C34BFD">
        <w:rPr>
          <w:rFonts w:ascii="Century Gothic" w:hAnsi="Century Gothic"/>
          <w:sz w:val="24"/>
          <w:szCs w:val="24"/>
        </w:rPr>
        <w:t>.</w:t>
      </w:r>
      <w:proofErr w:type="spellEnd"/>
    </w:p>
    <w:sectPr w:rsidR="00B929D1" w:rsidRPr="00C34BFD" w:rsidSect="0049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BEB"/>
    <w:multiLevelType w:val="hybridMultilevel"/>
    <w:tmpl w:val="79BE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0B2"/>
    <w:multiLevelType w:val="hybridMultilevel"/>
    <w:tmpl w:val="BF02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54B"/>
    <w:multiLevelType w:val="hybridMultilevel"/>
    <w:tmpl w:val="B9F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5FA"/>
    <w:multiLevelType w:val="hybridMultilevel"/>
    <w:tmpl w:val="4DF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CEE"/>
    <w:multiLevelType w:val="hybridMultilevel"/>
    <w:tmpl w:val="79D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90B9D"/>
    <w:multiLevelType w:val="hybridMultilevel"/>
    <w:tmpl w:val="07F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1F0"/>
    <w:multiLevelType w:val="hybridMultilevel"/>
    <w:tmpl w:val="9DF2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15C9D"/>
    <w:multiLevelType w:val="hybridMultilevel"/>
    <w:tmpl w:val="7AD0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4678">
    <w:abstractNumId w:val="1"/>
  </w:num>
  <w:num w:numId="2" w16cid:durableId="1802843290">
    <w:abstractNumId w:val="2"/>
  </w:num>
  <w:num w:numId="3" w16cid:durableId="118768267">
    <w:abstractNumId w:val="0"/>
  </w:num>
  <w:num w:numId="4" w16cid:durableId="1009989023">
    <w:abstractNumId w:val="4"/>
  </w:num>
  <w:num w:numId="5" w16cid:durableId="777605028">
    <w:abstractNumId w:val="7"/>
  </w:num>
  <w:num w:numId="6" w16cid:durableId="732894571">
    <w:abstractNumId w:val="6"/>
  </w:num>
  <w:num w:numId="7" w16cid:durableId="430399455">
    <w:abstractNumId w:val="3"/>
  </w:num>
  <w:num w:numId="8" w16cid:durableId="172307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D1"/>
    <w:rsid w:val="00205288"/>
    <w:rsid w:val="00497C4E"/>
    <w:rsid w:val="00B929D1"/>
    <w:rsid w:val="00C34BFD"/>
    <w:rsid w:val="00CF7471"/>
    <w:rsid w:val="00D62261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98B5"/>
  <w15:chartTrackingRefBased/>
  <w15:docId w15:val="{302EC148-AA0F-400B-881F-E19DCEA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3</cp:revision>
  <dcterms:created xsi:type="dcterms:W3CDTF">2022-07-01T10:41:00Z</dcterms:created>
  <dcterms:modified xsi:type="dcterms:W3CDTF">2022-07-04T11:13:00Z</dcterms:modified>
</cp:coreProperties>
</file>